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82F991">
      <w:pPr>
        <w:spacing w:line="360" w:lineRule="auto"/>
        <w:jc w:val="center"/>
        <w:rPr>
          <w:rFonts w:hint="eastAsia"/>
          <w:b/>
          <w:bCs/>
          <w:sz w:val="36"/>
          <w:szCs w:val="36"/>
        </w:rPr>
      </w:pPr>
      <w:r>
        <w:rPr>
          <w:rFonts w:hint="eastAsia"/>
          <w:b/>
          <w:bCs/>
          <w:sz w:val="36"/>
          <w:szCs w:val="36"/>
          <w:lang w:eastAsia="zh-CN"/>
        </w:rPr>
        <w:t>《</w:t>
      </w:r>
      <w:r>
        <w:rPr>
          <w:rFonts w:hint="eastAsia"/>
          <w:b/>
          <w:bCs/>
          <w:sz w:val="36"/>
          <w:szCs w:val="36"/>
          <w:lang w:val="en-US" w:eastAsia="zh-CN"/>
        </w:rPr>
        <w:t>湖州师范学报</w:t>
      </w:r>
      <w:bookmarkStart w:id="0" w:name="_GoBack"/>
      <w:bookmarkEnd w:id="0"/>
      <w:r>
        <w:rPr>
          <w:rFonts w:hint="eastAsia"/>
          <w:b/>
          <w:bCs/>
          <w:sz w:val="36"/>
          <w:szCs w:val="36"/>
          <w:lang w:val="en-US" w:eastAsia="zh-CN"/>
        </w:rPr>
        <w:t>学报</w:t>
      </w:r>
      <w:r>
        <w:rPr>
          <w:rFonts w:hint="eastAsia"/>
          <w:b/>
          <w:bCs/>
          <w:sz w:val="36"/>
          <w:szCs w:val="36"/>
          <w:lang w:eastAsia="zh-CN"/>
        </w:rPr>
        <w:t>》</w:t>
      </w:r>
      <w:r>
        <w:rPr>
          <w:rFonts w:hint="eastAsia"/>
          <w:b/>
          <w:bCs/>
          <w:sz w:val="36"/>
          <w:szCs w:val="36"/>
          <w:lang w:val="en-US" w:eastAsia="zh-CN"/>
        </w:rPr>
        <w:t>关于</w:t>
      </w:r>
      <w:r>
        <w:rPr>
          <w:rFonts w:hint="eastAsia"/>
          <w:b/>
          <w:bCs/>
          <w:sz w:val="36"/>
          <w:szCs w:val="36"/>
        </w:rPr>
        <w:t>AIGC使用</w:t>
      </w:r>
      <w:r>
        <w:rPr>
          <w:rFonts w:hint="eastAsia"/>
          <w:b/>
          <w:bCs/>
          <w:sz w:val="36"/>
          <w:szCs w:val="36"/>
          <w:lang w:eastAsia="zh-CN"/>
        </w:rPr>
        <w:t>的</w:t>
      </w:r>
      <w:r>
        <w:rPr>
          <w:rFonts w:hint="eastAsia"/>
          <w:b/>
          <w:bCs/>
          <w:sz w:val="36"/>
          <w:szCs w:val="36"/>
        </w:rPr>
        <w:t>声明</w:t>
      </w:r>
    </w:p>
    <w:p w14:paraId="15BC53C2">
      <w:pPr>
        <w:spacing w:line="360" w:lineRule="auto"/>
        <w:rPr>
          <w:rFonts w:hint="eastAsia"/>
          <w:sz w:val="24"/>
          <w:szCs w:val="24"/>
        </w:rPr>
      </w:pPr>
    </w:p>
    <w:p w14:paraId="631CD661">
      <w:pPr>
        <w:spacing w:line="360" w:lineRule="auto"/>
        <w:ind w:firstLine="480" w:firstLineChars="200"/>
        <w:rPr>
          <w:rFonts w:hint="eastAsia"/>
          <w:sz w:val="24"/>
          <w:szCs w:val="24"/>
        </w:rPr>
      </w:pPr>
      <w:r>
        <w:rPr>
          <w:rFonts w:hint="eastAsia"/>
          <w:sz w:val="24"/>
          <w:szCs w:val="24"/>
        </w:rPr>
        <w:t>为维护学术诚信，保障研究成果的真实性、原创性与严谨性，规范生成式人工智能（AIGC）工具在学术研究与论文写作中的合理使用，依据《学术出版规范 期刊学术不端行为界定》（CY/T174-2019）、《负责任研究行为规范指引（2023）》、《学术出版中AIGC使用边界指南》等相关文件，本刊特制定本声明。</w:t>
      </w:r>
    </w:p>
    <w:p w14:paraId="584D69A3">
      <w:pPr>
        <w:spacing w:line="360" w:lineRule="auto"/>
        <w:ind w:firstLine="482" w:firstLineChars="200"/>
        <w:rPr>
          <w:rFonts w:hint="eastAsia"/>
          <w:b/>
          <w:bCs/>
          <w:sz w:val="24"/>
          <w:szCs w:val="24"/>
        </w:rPr>
      </w:pPr>
      <w:r>
        <w:rPr>
          <w:rFonts w:hint="eastAsia"/>
          <w:b/>
          <w:bCs/>
          <w:sz w:val="24"/>
          <w:szCs w:val="24"/>
        </w:rPr>
        <w:t>一、</w:t>
      </w:r>
      <w:r>
        <w:rPr>
          <w:rFonts w:hint="eastAsia"/>
          <w:b/>
          <w:bCs/>
          <w:sz w:val="24"/>
          <w:szCs w:val="24"/>
          <w:lang w:val="en-US" w:eastAsia="zh-CN"/>
        </w:rPr>
        <w:t>论文</w:t>
      </w:r>
      <w:r>
        <w:rPr>
          <w:rFonts w:hint="eastAsia"/>
          <w:b/>
          <w:bCs/>
          <w:sz w:val="24"/>
          <w:szCs w:val="24"/>
        </w:rPr>
        <w:t>责任主体</w:t>
      </w:r>
    </w:p>
    <w:p w14:paraId="5221EC39">
      <w:pPr>
        <w:spacing w:line="360" w:lineRule="auto"/>
        <w:ind w:firstLine="480" w:firstLineChars="200"/>
        <w:rPr>
          <w:rFonts w:hint="eastAsia"/>
          <w:sz w:val="24"/>
          <w:szCs w:val="24"/>
        </w:rPr>
      </w:pPr>
      <w:r>
        <w:rPr>
          <w:rFonts w:hint="eastAsia"/>
          <w:sz w:val="24"/>
          <w:szCs w:val="24"/>
        </w:rPr>
        <w:t>1. 作者署名资格。本刊不接受任何生成式人工智能工具作为论文署名作者。所有作者须为对研究做出实质性智力贡献的自然人，并对论文内容的真实性、原创性、学术规范及AIGC工具使用的合规性承担全部责任。参考文献中不得出现以AIGC工具为作者的文献。</w:t>
      </w:r>
    </w:p>
    <w:p w14:paraId="4EE2E815">
      <w:pPr>
        <w:spacing w:line="360" w:lineRule="auto"/>
        <w:ind w:firstLine="480" w:firstLineChars="200"/>
        <w:rPr>
          <w:rFonts w:hint="eastAsia"/>
          <w:sz w:val="24"/>
          <w:szCs w:val="24"/>
        </w:rPr>
      </w:pPr>
      <w:r>
        <w:rPr>
          <w:rFonts w:hint="eastAsia"/>
          <w:sz w:val="24"/>
          <w:szCs w:val="24"/>
        </w:rPr>
        <w:t>2. 作者主体责任。作者须对本人学术论文中的数据真实性、研究设计及结论可靠性承担全部责任。AIGC工具仅作为辅助工具使用，不能替代作者的核心研究工作与学术判断。因AIGC使用不当引发的学术不端、版权纠纷等问题，由作者承担相应法律与伦理责任。</w:t>
      </w:r>
    </w:p>
    <w:p w14:paraId="06C16560">
      <w:pPr>
        <w:spacing w:line="360" w:lineRule="auto"/>
        <w:ind w:firstLine="482" w:firstLineChars="200"/>
        <w:rPr>
          <w:rFonts w:hint="eastAsia"/>
          <w:sz w:val="24"/>
          <w:szCs w:val="24"/>
        </w:rPr>
      </w:pPr>
      <w:r>
        <w:rPr>
          <w:rFonts w:hint="eastAsia"/>
          <w:b/>
          <w:bCs/>
          <w:sz w:val="24"/>
          <w:szCs w:val="24"/>
        </w:rPr>
        <w:t>二、AIGC使用范围与披露要求</w:t>
      </w:r>
    </w:p>
    <w:p w14:paraId="0B863016">
      <w:pPr>
        <w:spacing w:line="360" w:lineRule="auto"/>
        <w:ind w:firstLine="480" w:firstLineChars="200"/>
        <w:rPr>
          <w:rFonts w:hint="eastAsia"/>
          <w:sz w:val="24"/>
          <w:szCs w:val="24"/>
        </w:rPr>
      </w:pPr>
      <w:r>
        <w:rPr>
          <w:rFonts w:hint="eastAsia"/>
          <w:sz w:val="24"/>
          <w:szCs w:val="24"/>
        </w:rPr>
        <w:t xml:space="preserve">1. </w:t>
      </w:r>
      <w:r>
        <w:rPr>
          <w:rFonts w:hint="eastAsia"/>
          <w:sz w:val="24"/>
          <w:szCs w:val="24"/>
          <w:lang w:val="en-US"/>
        </w:rPr>
        <w:t>AI</w:t>
      </w:r>
      <w:r>
        <w:rPr>
          <w:rFonts w:hint="eastAsia"/>
          <w:sz w:val="24"/>
          <w:szCs w:val="24"/>
        </w:rPr>
        <w:t>工具</w:t>
      </w:r>
      <w:r>
        <w:rPr>
          <w:rFonts w:hint="eastAsia"/>
          <w:sz w:val="24"/>
          <w:szCs w:val="24"/>
          <w:lang w:val="en-US" w:eastAsia="zh-CN"/>
        </w:rPr>
        <w:t>使用规范</w:t>
      </w:r>
      <w:r>
        <w:rPr>
          <w:rFonts w:hint="eastAsia"/>
          <w:sz w:val="24"/>
          <w:szCs w:val="24"/>
        </w:rPr>
        <w:t>。使用</w:t>
      </w:r>
      <w:r>
        <w:rPr>
          <w:rFonts w:hint="eastAsia"/>
          <w:sz w:val="24"/>
          <w:szCs w:val="24"/>
          <w:lang w:val="en-US"/>
        </w:rPr>
        <w:t>AI</w:t>
      </w:r>
      <w:r>
        <w:rPr>
          <w:rFonts w:hint="eastAsia"/>
          <w:sz w:val="24"/>
          <w:szCs w:val="24"/>
        </w:rPr>
        <w:t>工具旨在提升科研效率与质量，而非替代作者的核心研究工作。如在文献检索、数据整理等非核心写作环节使用生成式人工智能工具，作者须遵守人工智能伦理规范和学术规范。</w:t>
      </w:r>
    </w:p>
    <w:p w14:paraId="2E930CC6">
      <w:pPr>
        <w:spacing w:line="360" w:lineRule="auto"/>
        <w:ind w:firstLine="480" w:firstLineChars="200"/>
        <w:rPr>
          <w:rFonts w:hint="eastAsia"/>
          <w:sz w:val="24"/>
          <w:szCs w:val="24"/>
        </w:rPr>
      </w:pPr>
      <w:r>
        <w:rPr>
          <w:rFonts w:hint="eastAsia"/>
          <w:sz w:val="24"/>
          <w:szCs w:val="24"/>
        </w:rPr>
        <w:t>2. 禁止使用情形。严禁使用AIGC工具直接生成论文的主体框架、核心观点、研究结论等关键内容；严禁利用AIGC工具伪造、篡改或捏造文献、数据、图表等内容；严禁虚构工具信息或隐瞒使用情况；严禁将AIGC生成内容直接作为独立研究成果投稿。</w:t>
      </w:r>
    </w:p>
    <w:p w14:paraId="0D1BD965">
      <w:pPr>
        <w:spacing w:line="360" w:lineRule="auto"/>
        <w:ind w:firstLine="480" w:firstLineChars="200"/>
        <w:rPr>
          <w:rFonts w:hint="eastAsia"/>
          <w:sz w:val="24"/>
          <w:szCs w:val="24"/>
        </w:rPr>
      </w:pPr>
      <w:r>
        <w:rPr>
          <w:rFonts w:hint="eastAsia"/>
          <w:sz w:val="24"/>
          <w:szCs w:val="24"/>
        </w:rPr>
        <w:t>3. 披露要求。凡在论文撰写过程中使用AIGC工具的，作者须在投稿时如实、完整披露相关信息。披露内容应包括：（1）所使用的AIGC工具名称、版本及开发者；（2）具体使用目的和环节；（3）使用时间；（4）原始提示词及生成内容范围。声明应置于论文正文之后。未附声明者，视为作者作出未曾使用AIGC工具的默认陈述。</w:t>
      </w:r>
    </w:p>
    <w:p w14:paraId="725F5E38">
      <w:pPr>
        <w:spacing w:line="360" w:lineRule="auto"/>
        <w:ind w:firstLine="482" w:firstLineChars="200"/>
        <w:rPr>
          <w:rFonts w:hint="eastAsia"/>
          <w:b/>
          <w:bCs/>
          <w:sz w:val="24"/>
          <w:szCs w:val="24"/>
        </w:rPr>
      </w:pPr>
      <w:r>
        <w:rPr>
          <w:rFonts w:hint="eastAsia"/>
          <w:b/>
          <w:bCs/>
          <w:sz w:val="24"/>
          <w:szCs w:val="24"/>
        </w:rPr>
        <w:t>三、评审与编辑规范</w:t>
      </w:r>
    </w:p>
    <w:p w14:paraId="380C63E2">
      <w:pPr>
        <w:spacing w:line="360" w:lineRule="auto"/>
        <w:ind w:firstLine="480" w:firstLineChars="200"/>
        <w:rPr>
          <w:rFonts w:hint="eastAsia"/>
          <w:sz w:val="24"/>
          <w:szCs w:val="24"/>
        </w:rPr>
      </w:pPr>
      <w:r>
        <w:rPr>
          <w:rFonts w:hint="eastAsia"/>
          <w:sz w:val="24"/>
          <w:szCs w:val="24"/>
        </w:rPr>
        <w:t>1. 审稿人责任。审稿人不得将稿件及补充材料上传至任何公开的AIGC平台。稿件的评审意见须由审稿人独立完成，不得使用AIGC工具直接生成。如审稿人使用本地部署的AIGC工具进行辅助审稿（如文献核查、数据验证等），须在评审意见末尾标注使用场景及工具信息。一经发现评审意见由AIGC工具直接生成，本刊将视为无效审稿。</w:t>
      </w:r>
    </w:p>
    <w:p w14:paraId="28ED7FAF">
      <w:pPr>
        <w:spacing w:line="360" w:lineRule="auto"/>
        <w:ind w:firstLine="480" w:firstLineChars="200"/>
        <w:rPr>
          <w:rFonts w:hint="eastAsia"/>
          <w:sz w:val="24"/>
          <w:szCs w:val="24"/>
        </w:rPr>
      </w:pPr>
      <w:r>
        <w:rPr>
          <w:rFonts w:hint="eastAsia"/>
          <w:sz w:val="24"/>
          <w:szCs w:val="24"/>
          <w:lang w:val="en-US" w:eastAsia="zh-CN"/>
        </w:rPr>
        <w:t>2</w:t>
      </w:r>
      <w:r>
        <w:rPr>
          <w:rFonts w:hint="eastAsia"/>
          <w:sz w:val="24"/>
          <w:szCs w:val="24"/>
        </w:rPr>
        <w:t>. 编辑人员规范。编辑人员在稿件初审、复审、终审各环节，不得将作者原稿上传至任何公开的AIGC工具</w:t>
      </w:r>
      <w:r>
        <w:rPr>
          <w:rFonts w:hint="eastAsia"/>
          <w:sz w:val="24"/>
          <w:szCs w:val="24"/>
          <w:lang w:eastAsia="zh-CN"/>
        </w:rPr>
        <w:t>，</w:t>
      </w:r>
      <w:r>
        <w:rPr>
          <w:rFonts w:hint="eastAsia"/>
          <w:sz w:val="24"/>
          <w:szCs w:val="24"/>
        </w:rPr>
        <w:t>编辑可在初审阶段使用AIGC检测工具对论文进行检测。</w:t>
      </w:r>
    </w:p>
    <w:p w14:paraId="6C348AE3">
      <w:pPr>
        <w:spacing w:line="360" w:lineRule="auto"/>
        <w:ind w:firstLine="482" w:firstLineChars="200"/>
        <w:rPr>
          <w:rFonts w:hint="eastAsia"/>
          <w:b/>
          <w:bCs/>
          <w:sz w:val="24"/>
          <w:szCs w:val="24"/>
        </w:rPr>
      </w:pPr>
      <w:r>
        <w:rPr>
          <w:rFonts w:hint="eastAsia"/>
          <w:b/>
          <w:bCs/>
          <w:sz w:val="24"/>
          <w:szCs w:val="24"/>
        </w:rPr>
        <w:t>四、违规处理</w:t>
      </w:r>
    </w:p>
    <w:p w14:paraId="544C169A">
      <w:pPr>
        <w:spacing w:line="360" w:lineRule="auto"/>
        <w:ind w:firstLine="480" w:firstLineChars="200"/>
        <w:rPr>
          <w:rFonts w:hint="eastAsia"/>
          <w:sz w:val="24"/>
          <w:szCs w:val="24"/>
        </w:rPr>
      </w:pPr>
      <w:r>
        <w:rPr>
          <w:rFonts w:hint="eastAsia"/>
          <w:sz w:val="24"/>
          <w:szCs w:val="24"/>
        </w:rPr>
        <w:t>1. 审查机制。本刊对所有来稿均实行AIGC检测与人工审核双重机制。本刊保留长期追踪与审查投稿、刊稿中AIGC使用情况的权利。</w:t>
      </w:r>
    </w:p>
    <w:p w14:paraId="438655C7">
      <w:pPr>
        <w:spacing w:line="360" w:lineRule="auto"/>
        <w:ind w:firstLine="480" w:firstLineChars="200"/>
        <w:rPr>
          <w:rFonts w:hint="eastAsia"/>
          <w:sz w:val="24"/>
          <w:szCs w:val="24"/>
        </w:rPr>
      </w:pPr>
      <w:r>
        <w:rPr>
          <w:rFonts w:hint="eastAsia"/>
          <w:sz w:val="24"/>
          <w:szCs w:val="24"/>
        </w:rPr>
        <w:t>2. 处理措施。一经查实存在隐瞒或不实提供AIGC使用情况、超越使用边界等违规行为，本刊将视情节轻重采取以下措施：（1）退稿或撤稿；（2）通报作者所在单位；（3）列入学术失信名单或黑名单；（4）一定期限内禁止作者投稿。对本刊声誉等造成损失的，本刊有权追究其法律责任。</w:t>
      </w:r>
    </w:p>
    <w:p w14:paraId="74E4EB20">
      <w:pPr>
        <w:spacing w:line="360" w:lineRule="auto"/>
        <w:ind w:firstLine="482" w:firstLineChars="200"/>
        <w:rPr>
          <w:rFonts w:hint="eastAsia"/>
          <w:b/>
          <w:bCs/>
          <w:sz w:val="24"/>
          <w:szCs w:val="24"/>
        </w:rPr>
      </w:pPr>
      <w:r>
        <w:rPr>
          <w:rFonts w:hint="eastAsia"/>
          <w:b/>
          <w:bCs/>
          <w:sz w:val="24"/>
          <w:szCs w:val="24"/>
        </w:rPr>
        <w:t>五、附则</w:t>
      </w:r>
    </w:p>
    <w:p w14:paraId="7406E953">
      <w:pPr>
        <w:spacing w:line="360" w:lineRule="auto"/>
        <w:ind w:firstLine="480" w:firstLineChars="200"/>
        <w:rPr>
          <w:rFonts w:hint="eastAsia"/>
          <w:sz w:val="24"/>
          <w:szCs w:val="24"/>
        </w:rPr>
      </w:pPr>
      <w:r>
        <w:rPr>
          <w:rFonts w:hint="eastAsia"/>
          <w:sz w:val="24"/>
          <w:szCs w:val="24"/>
        </w:rPr>
        <w:t>本声明将根据人工智能技术的发展及相关政策法规的变化进行适时动态调整。本声明自发布之日起施行，最终解释权归本刊编辑部所有。</w:t>
      </w:r>
    </w:p>
    <w:p w14:paraId="25D957F6">
      <w:pPr>
        <w:spacing w:line="360" w:lineRule="auto"/>
        <w:ind w:firstLine="480" w:firstLineChars="200"/>
        <w:rPr>
          <w:rFonts w:hint="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BE39C4"/>
    <w:rsid w:val="22EC5CC5"/>
    <w:rsid w:val="38813134"/>
    <w:rsid w:val="531A11E6"/>
    <w:rsid w:val="62AE40EB"/>
    <w:rsid w:val="73A85FFF"/>
    <w:rsid w:val="7A0F0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1202</Words>
  <Characters>1296</Characters>
  <Lines>0</Lines>
  <Paragraphs>0</Paragraphs>
  <TotalTime>4</TotalTime>
  <ScaleCrop>false</ScaleCrop>
  <LinksUpToDate>false</LinksUpToDate>
  <CharactersWithSpaces>1306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2026-07-26T12:57:00Z</dcterms:created>
  <dc:creator>USER</dc:creator>
  <cp:lastModifiedBy>风起</cp:lastModifiedBy>
  <dcterms:modified xsi:type="dcterms:W3CDTF">2026-08-04T03:07:07Z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eyJoZGlkIjoiODcxN2YzNGM4ODA0ZTNmYWY1MTZmZTEzYTg3NTYyMjgiLCJ1c2VySWQiOiI4MzYyMTczMjcifQ==</vt:lpwstr>
  </property>
  <property fmtid="{D5CDD505-2E9C-101B-9397-08002B2CF9AE}" pid="4" name="ICV">
    <vt:lpwstr>6C813564BC394A6B946631624A8C7A56_12</vt:lpwstr>
  </property>
</Properties>
</file>